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6F" w:rsidRDefault="00332A6F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2A6F" w:rsidRDefault="00332A6F">
      <w:pPr>
        <w:pStyle w:val="ConsPlusTitle"/>
        <w:jc w:val="center"/>
        <w:outlineLvl w:val="0"/>
      </w:pPr>
      <w:bookmarkStart w:id="0" w:name="_GoBack"/>
      <w:bookmarkEnd w:id="0"/>
      <w:r>
        <w:t>ГУБЕРНАТОР ХАБАРОВСКОГО КРАЯ</w:t>
      </w:r>
    </w:p>
    <w:p w:rsidR="00332A6F" w:rsidRDefault="00332A6F">
      <w:pPr>
        <w:pStyle w:val="ConsPlusTitle"/>
        <w:jc w:val="center"/>
      </w:pPr>
    </w:p>
    <w:p w:rsidR="00332A6F" w:rsidRDefault="00332A6F">
      <w:pPr>
        <w:pStyle w:val="ConsPlusTitle"/>
        <w:jc w:val="center"/>
      </w:pPr>
      <w:r>
        <w:t>ПОСТАНОВЛЕНИЕ</w:t>
      </w:r>
    </w:p>
    <w:p w:rsidR="00332A6F" w:rsidRDefault="00332A6F">
      <w:pPr>
        <w:pStyle w:val="ConsPlusTitle"/>
        <w:jc w:val="center"/>
      </w:pPr>
      <w:r>
        <w:t>от 14 апреля 2011 г. N 43</w:t>
      </w:r>
    </w:p>
    <w:p w:rsidR="00332A6F" w:rsidRDefault="00332A6F">
      <w:pPr>
        <w:pStyle w:val="ConsPlusTitle"/>
        <w:jc w:val="center"/>
      </w:pPr>
    </w:p>
    <w:p w:rsidR="00332A6F" w:rsidRDefault="00332A6F">
      <w:pPr>
        <w:pStyle w:val="ConsPlusTitle"/>
        <w:jc w:val="center"/>
      </w:pPr>
      <w:r>
        <w:t>ОБ УТВЕРЖДЕНИИ ПОЛОЖЕНИЯ О КРАЕВОМ</w:t>
      </w:r>
    </w:p>
    <w:p w:rsidR="00332A6F" w:rsidRDefault="00332A6F">
      <w:pPr>
        <w:pStyle w:val="ConsPlusTitle"/>
        <w:jc w:val="center"/>
      </w:pPr>
      <w:r>
        <w:t>КОНКУРСЕ МОЛОДЫХ УЧЕНЫХ И АСПИРАНТОВ</w:t>
      </w:r>
    </w:p>
    <w:p w:rsidR="00332A6F" w:rsidRDefault="00332A6F">
      <w:pPr>
        <w:pStyle w:val="ConsPlusNormal"/>
        <w:jc w:val="center"/>
      </w:pPr>
      <w:r>
        <w:t>Список изменяющих документов</w:t>
      </w:r>
    </w:p>
    <w:p w:rsidR="00332A6F" w:rsidRDefault="00332A6F">
      <w:pPr>
        <w:pStyle w:val="ConsPlusNormal"/>
        <w:jc w:val="center"/>
      </w:pPr>
      <w:r>
        <w:t xml:space="preserve">(в ред. постановлений Губернатора Хабаровского края от 16.09.2014 </w:t>
      </w:r>
      <w:hyperlink r:id="rId7" w:history="1">
        <w:r>
          <w:rPr>
            <w:color w:val="0000FF"/>
          </w:rPr>
          <w:t>N 65</w:t>
        </w:r>
      </w:hyperlink>
      <w:r>
        <w:t>,</w:t>
      </w:r>
    </w:p>
    <w:p w:rsidR="00332A6F" w:rsidRDefault="00332A6F">
      <w:pPr>
        <w:pStyle w:val="ConsPlusNormal"/>
        <w:jc w:val="center"/>
      </w:pPr>
      <w:r>
        <w:t xml:space="preserve">от 20.07.2015 </w:t>
      </w:r>
      <w:hyperlink r:id="rId8" w:history="1">
        <w:r>
          <w:rPr>
            <w:color w:val="0000FF"/>
          </w:rPr>
          <w:t>N 67</w:t>
        </w:r>
      </w:hyperlink>
      <w:r>
        <w:t xml:space="preserve">, от 26.01.2017 </w:t>
      </w:r>
      <w:hyperlink r:id="rId9" w:history="1">
        <w:r>
          <w:rPr>
            <w:color w:val="0000FF"/>
          </w:rPr>
          <w:t>N 10</w:t>
        </w:r>
      </w:hyperlink>
      <w:r>
        <w:t>)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ind w:firstLine="540"/>
        <w:jc w:val="both"/>
      </w:pPr>
      <w:r>
        <w:t>В связи с передачей министерству образования и науки Хабаровского края функций по организации и осуществлению региональных научно-технических программ и проектов, в целях приведения нормативных правовых актов Хабаровского края в соответствие с распоряжением Губернатора Хабаровского края от 24 сентября 2010 г. N 543-р "О передаче функций и структурно-штатных изменениях" постановляю: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краевом конкурсе молодых ученых и аспирантов.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2. Министерству образования и науки края:</w:t>
      </w:r>
    </w:p>
    <w:p w:rsidR="00332A6F" w:rsidRDefault="00332A6F">
      <w:pPr>
        <w:pStyle w:val="ConsPlusNormal"/>
        <w:jc w:val="both"/>
      </w:pPr>
      <w:r>
        <w:t xml:space="preserve">(в ред. постановлений Губернатора Хабаровского края от 16.09.2014 </w:t>
      </w:r>
      <w:hyperlink r:id="rId10" w:history="1">
        <w:r>
          <w:rPr>
            <w:color w:val="0000FF"/>
          </w:rPr>
          <w:t>N 65</w:t>
        </w:r>
      </w:hyperlink>
      <w:r>
        <w:t xml:space="preserve">, от 26.01.2017 </w:t>
      </w:r>
      <w:hyperlink r:id="rId11" w:history="1">
        <w:r>
          <w:rPr>
            <w:color w:val="0000FF"/>
          </w:rPr>
          <w:t>N 10</w:t>
        </w:r>
      </w:hyperlink>
      <w:r>
        <w:t>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2.1. Организовать ежегодное проведение краевого конкурса молодых ученых и аспирантов ко Дню российской науки.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2.2. Обеспечить размещение на официальном сайте министерства образования и науки края в информационно-телекоммуникационной сети "Интернет" не позднее чем за два месяца до начала краевого конкурса молодых ученых и аспирантов информацию о сроках и месте его проведения.</w:t>
      </w:r>
    </w:p>
    <w:p w:rsidR="00332A6F" w:rsidRDefault="00332A6F">
      <w:pPr>
        <w:pStyle w:val="ConsPlusNormal"/>
        <w:jc w:val="both"/>
      </w:pPr>
      <w:r>
        <w:t xml:space="preserve">(в ред. постановлений Губернатора Хабаровского края от 16.09.2014 </w:t>
      </w:r>
      <w:hyperlink r:id="rId12" w:history="1">
        <w:r>
          <w:rPr>
            <w:color w:val="0000FF"/>
          </w:rPr>
          <w:t>N 65</w:t>
        </w:r>
      </w:hyperlink>
      <w:r>
        <w:t xml:space="preserve">, от 26.01.2017 </w:t>
      </w:r>
      <w:hyperlink r:id="rId13" w:history="1">
        <w:r>
          <w:rPr>
            <w:color w:val="0000FF"/>
          </w:rPr>
          <w:t>N 10</w:t>
        </w:r>
      </w:hyperlink>
      <w:r>
        <w:t>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3. Утвердить денежное вознаграждение победителям краевого конкурса молодых ученых и аспирантов по каждой научной секции: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1 место - 20 тыс. (двадцать тысяч) рублей;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 место - 15 тыс. (пятнадцать тысяч) рублей;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 место - 10 тыс. (десять тысяч) рублей.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4. Министерству финансов края производить финансирование расходов, связанных с исполнением настоящего постановления, за счет ассигнований, предусмотренных в краевом бюджете по отрасли "Образование".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26.01.2017 N 10)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32A6F" w:rsidRDefault="00332A6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Хабаровского края от 31 января 2000 г. N 32 "О краевом конкурсе молодых ученых и аспирантов";</w:t>
      </w:r>
    </w:p>
    <w:p w:rsidR="00332A6F" w:rsidRDefault="00332A6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13 ноября 2002 г. N 476 "О внесении изменений в Положение о краевом конкурсе молодых ученых и аспирантов, утвержденное постановлением главы администрации края от 31 января 2000 г. N 32";</w:t>
      </w:r>
    </w:p>
    <w:p w:rsidR="00332A6F" w:rsidRDefault="00332A6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22 августа 2007 г. N 128 "О внесении изменений в </w:t>
      </w:r>
      <w:r>
        <w:lastRenderedPageBreak/>
        <w:t>постановление главы администрации Хабаровского края от 31 января 2000 г. N 32".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Председателя Правительства края.</w:t>
      </w:r>
    </w:p>
    <w:p w:rsidR="00332A6F" w:rsidRDefault="00332A6F">
      <w:pPr>
        <w:pStyle w:val="ConsPlusNormal"/>
        <w:jc w:val="both"/>
      </w:pPr>
      <w:r>
        <w:t xml:space="preserve">(в ред. постановлений Губернатора Хабаровского края от 16.09.2014 </w:t>
      </w:r>
      <w:hyperlink r:id="rId18" w:history="1">
        <w:r>
          <w:rPr>
            <w:color w:val="0000FF"/>
          </w:rPr>
          <w:t>N 65</w:t>
        </w:r>
      </w:hyperlink>
      <w:r>
        <w:t xml:space="preserve">, от 20.07.2015 </w:t>
      </w:r>
      <w:hyperlink r:id="rId19" w:history="1">
        <w:r>
          <w:rPr>
            <w:color w:val="0000FF"/>
          </w:rPr>
          <w:t>N 67</w:t>
        </w:r>
      </w:hyperlink>
      <w:r>
        <w:t xml:space="preserve">, от 26.01.2017 </w:t>
      </w:r>
      <w:hyperlink r:id="rId20" w:history="1">
        <w:r>
          <w:rPr>
            <w:color w:val="0000FF"/>
          </w:rPr>
          <w:t>N 10</w:t>
        </w:r>
      </w:hyperlink>
      <w:r>
        <w:t>)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right"/>
      </w:pPr>
      <w:r>
        <w:t>Губернатор</w:t>
      </w:r>
    </w:p>
    <w:p w:rsidR="00332A6F" w:rsidRDefault="00332A6F">
      <w:pPr>
        <w:pStyle w:val="ConsPlusNormal"/>
        <w:jc w:val="right"/>
      </w:pPr>
      <w:proofErr w:type="spellStart"/>
      <w:r>
        <w:t>В.И.Шпорт</w:t>
      </w:r>
      <w:proofErr w:type="spellEnd"/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right"/>
        <w:outlineLvl w:val="0"/>
      </w:pPr>
      <w:r>
        <w:t>УТВЕРЖДЕНО</w:t>
      </w:r>
    </w:p>
    <w:p w:rsidR="00332A6F" w:rsidRDefault="00332A6F">
      <w:pPr>
        <w:pStyle w:val="ConsPlusNormal"/>
        <w:jc w:val="right"/>
      </w:pPr>
      <w:r>
        <w:t>Постановлением</w:t>
      </w:r>
    </w:p>
    <w:p w:rsidR="00332A6F" w:rsidRDefault="00332A6F">
      <w:pPr>
        <w:pStyle w:val="ConsPlusNormal"/>
        <w:jc w:val="right"/>
      </w:pPr>
      <w:r>
        <w:t>Губернатора Хабаровского края</w:t>
      </w:r>
    </w:p>
    <w:p w:rsidR="00332A6F" w:rsidRDefault="00332A6F">
      <w:pPr>
        <w:pStyle w:val="ConsPlusNormal"/>
        <w:jc w:val="right"/>
      </w:pPr>
      <w:r>
        <w:t>от 14 апреля 2011 г. N 43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Title"/>
        <w:jc w:val="center"/>
      </w:pPr>
      <w:bookmarkStart w:id="1" w:name="P44"/>
      <w:bookmarkEnd w:id="1"/>
      <w:r>
        <w:t>ПОЛОЖЕНИЕ</w:t>
      </w:r>
    </w:p>
    <w:p w:rsidR="00332A6F" w:rsidRDefault="00332A6F">
      <w:pPr>
        <w:pStyle w:val="ConsPlusTitle"/>
        <w:jc w:val="center"/>
      </w:pPr>
      <w:r>
        <w:t>О КРАЕВОМ КОНКУРСЕ МОЛОДЫХ УЧЕНЫХ И АСПИРАНТОВ</w:t>
      </w:r>
    </w:p>
    <w:p w:rsidR="00332A6F" w:rsidRDefault="00332A6F">
      <w:pPr>
        <w:pStyle w:val="ConsPlusNormal"/>
        <w:jc w:val="center"/>
      </w:pPr>
      <w:r>
        <w:t>Список изменяющих документов</w:t>
      </w:r>
    </w:p>
    <w:p w:rsidR="00332A6F" w:rsidRDefault="00332A6F">
      <w:pPr>
        <w:pStyle w:val="ConsPlusNormal"/>
        <w:jc w:val="center"/>
      </w:pPr>
      <w:r>
        <w:t xml:space="preserve">(в ред. постановлений Губернатора Хабаровского края от 16.09.2014 </w:t>
      </w:r>
      <w:hyperlink r:id="rId21" w:history="1">
        <w:r>
          <w:rPr>
            <w:color w:val="0000FF"/>
          </w:rPr>
          <w:t>N 65</w:t>
        </w:r>
      </w:hyperlink>
      <w:r>
        <w:t>,</w:t>
      </w:r>
    </w:p>
    <w:p w:rsidR="00332A6F" w:rsidRDefault="00332A6F">
      <w:pPr>
        <w:pStyle w:val="ConsPlusNormal"/>
        <w:jc w:val="center"/>
      </w:pPr>
      <w:r>
        <w:t xml:space="preserve">от 20.07.2015 </w:t>
      </w:r>
      <w:hyperlink r:id="rId22" w:history="1">
        <w:r>
          <w:rPr>
            <w:color w:val="0000FF"/>
          </w:rPr>
          <w:t>N 67</w:t>
        </w:r>
      </w:hyperlink>
      <w:r>
        <w:t xml:space="preserve">, от 26.01.2017 </w:t>
      </w:r>
      <w:hyperlink r:id="rId23" w:history="1">
        <w:r>
          <w:rPr>
            <w:color w:val="0000FF"/>
          </w:rPr>
          <w:t>N 10</w:t>
        </w:r>
      </w:hyperlink>
      <w:r>
        <w:t>)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center"/>
        <w:outlineLvl w:val="1"/>
      </w:pPr>
      <w:r>
        <w:t>1. Общие положения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ind w:firstLine="540"/>
        <w:jc w:val="both"/>
      </w:pPr>
      <w:r>
        <w:t>1.1. Настоящее Положение устанавливает порядок и условия проведения краевого конкурса молодых ученых и аспирантов.</w:t>
      </w:r>
    </w:p>
    <w:p w:rsidR="00332A6F" w:rsidRDefault="00332A6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1.2. Краевой конкурс молодых ученых и аспирантов (далее - конкурс) проводится по следующим научным направлениям: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физико-математические науки (физика, математика, механика);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химические науки;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биологические науки (общая биология, физиология и др.);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технические науки (электротехника, электроника, энергетика, металлургия, информатика и вычислительная техника, новые технологии, строительство и архитектура, машиностроение, транспорт и др.);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сельскохозяйственные науки (агрономия, лесное и рыбное хозяйство);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гуманитарные науки (история и археология, филология, философия);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искусствоведение и культурология;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социально-экономические и общественные науки (социологические, юридические науки, психология, экономика, педагогика и др.);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медицинские науки (клиническая медицина, медико-биологические, фармацевтические науки);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науки о Земле (геофизика, геология, поиски и разведка полезных ископаемых, землеустройство, </w:t>
      </w:r>
      <w:proofErr w:type="spellStart"/>
      <w:r>
        <w:t>геотехнология</w:t>
      </w:r>
      <w:proofErr w:type="spellEnd"/>
      <w:r>
        <w:t>, геоэкология и др.).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lastRenderedPageBreak/>
        <w:t>1.3. Целью проведения конкурса является повышение научной активности молодых ученых и аспирантов, привлечение их к решению проблемы научно-технического обеспечения развития экономики и социальной сферы края, поддержка талантливой молодежи и восстановление престижности научного труда среди молодежи.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1.4. Организатором конкурса является министерство образования и науки края (далее - организатор конкурса).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Организатор конкурса ежегодно формирует научные секции по научным направлениям, указанным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раздела, утверждает председателей конкурсных комиссий соответствующих секций, формирует организационный комитет конкурса, определяет сроки и место проведения конкурса, оформляет результаты конкурса правовым актом Губернатора Хабаровского края и организует процедуру награждения победителей конкурса.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26.01.2017 N 10)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1.5. Председатель конкурсной комиссии формирует и утверждает персональный состав конкурсной комиссии, в которую входят высококвалифицированные специалисты, имеющие ученые степени и звания, опыт практической и научной деятельности по соответствующим направлениям наук.</w:t>
      </w:r>
    </w:p>
    <w:p w:rsidR="00332A6F" w:rsidRDefault="00332A6F">
      <w:pPr>
        <w:pStyle w:val="ConsPlusNormal"/>
        <w:jc w:val="both"/>
      </w:pPr>
      <w:r>
        <w:t xml:space="preserve">(п. 1.5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20.07.2015 N 67)</w:t>
      </w:r>
    </w:p>
    <w:p w:rsidR="00332A6F" w:rsidRDefault="00332A6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1.6. В конкурсе принимают участие научные сотрудники и аспиранты научных организаций, научные сотрудники, аспиранты и преподаватели образовательных организаций высшего образования, а также сотрудники иных организаций, занимающиеся научной работой.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26.01.2017 N 10)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Участником конкурса может быть коллектив молодых ученых и аспирантов, состоящий не более чем из трех человек.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1.7. Участниками конкурса являются лица, указанные в </w:t>
      </w:r>
      <w:hyperlink w:anchor="P71" w:history="1">
        <w:r>
          <w:rPr>
            <w:color w:val="0000FF"/>
          </w:rPr>
          <w:t>пункте 1.6</w:t>
        </w:r>
      </w:hyperlink>
      <w:r>
        <w:t xml:space="preserve"> настоящего раздела, в возрасте до 35 лет, подавшие заявку на участие в конкурсе и представившие научные работы и прилагаемые к ним материалы в срок, установленный </w:t>
      </w:r>
      <w:hyperlink w:anchor="P82" w:history="1">
        <w:r>
          <w:rPr>
            <w:color w:val="0000FF"/>
          </w:rPr>
          <w:t>пунктом 2.3 раздела 2</w:t>
        </w:r>
      </w:hyperlink>
      <w:r>
        <w:t xml:space="preserve"> настоящего Положения.</w:t>
      </w:r>
    </w:p>
    <w:p w:rsidR="00332A6F" w:rsidRDefault="00332A6F">
      <w:pPr>
        <w:pStyle w:val="ConsPlusNormal"/>
        <w:jc w:val="both"/>
      </w:pPr>
      <w:r>
        <w:t xml:space="preserve">(п. 1.7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26.01.2017 N 10)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center"/>
        <w:outlineLvl w:val="1"/>
      </w:pPr>
      <w:r>
        <w:t>2. Порядок и условия проведения конкурса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ind w:firstLine="540"/>
        <w:jc w:val="both"/>
      </w:pPr>
      <w:r>
        <w:t xml:space="preserve">2.1. Конкурс проводится отдельно по научным направлениям (секциям), указанным в </w:t>
      </w:r>
      <w:hyperlink w:anchor="P53" w:history="1">
        <w:r>
          <w:rPr>
            <w:color w:val="0000FF"/>
          </w:rPr>
          <w:t>пункте 1.2 раздела 1</w:t>
        </w:r>
      </w:hyperlink>
      <w:r>
        <w:t xml:space="preserve"> настоящего Положения.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2.2. Объявления о начале приема документов на конкурс, сроках и месте его проведения, итоги конкурса размещаются организатором конкурса на своем официальном сайте в информационно-телекоммуникационной сети "Интернет" (далее - официальный сайт).</w:t>
      </w:r>
    </w:p>
    <w:p w:rsidR="00332A6F" w:rsidRDefault="00332A6F">
      <w:pPr>
        <w:pStyle w:val="ConsPlusNormal"/>
        <w:jc w:val="both"/>
      </w:pPr>
      <w:r>
        <w:t xml:space="preserve">(п. 2.2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bookmarkStart w:id="4" w:name="P82"/>
      <w:bookmarkEnd w:id="4"/>
      <w:r>
        <w:t>2.3. Научная работа и прилагаемые к ней материалы представляются секретарю конкурсной комиссии соответствующей научной секции. Прием материалов производится в течение 30 дней с даты начала приема документов на конкурс, объявленной на официальном сайте организатора конкурса.</w:t>
      </w:r>
    </w:p>
    <w:p w:rsidR="00332A6F" w:rsidRDefault="00332A6F">
      <w:pPr>
        <w:pStyle w:val="ConsPlusNormal"/>
        <w:jc w:val="both"/>
      </w:pPr>
      <w:r>
        <w:t xml:space="preserve">(п. 2.3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2.4. Конкурс проводится в форме конференции с презентацией научного доклада продолжительностью не более 10 минут.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Конкурс является открытым. Обсуждение научного доклада происходит открыто путем свободного обмена мнениями. В работе конференции могут принимать участие студенты, аспиранты и ученые, не являющиеся участниками конкурса, </w:t>
      </w:r>
      <w:proofErr w:type="gramStart"/>
      <w:r>
        <w:t>с правом выступлений</w:t>
      </w:r>
      <w:proofErr w:type="gramEnd"/>
      <w:r>
        <w:t xml:space="preserve"> по теме научного доклада.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lastRenderedPageBreak/>
        <w:t>2.5. Работой научной секции руководит председатель конкурсной комиссии или председательствующий на заседании секции.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center"/>
        <w:outlineLvl w:val="1"/>
      </w:pPr>
      <w:r>
        <w:t>3. Требования к оформлению</w:t>
      </w:r>
    </w:p>
    <w:p w:rsidR="00332A6F" w:rsidRDefault="00332A6F">
      <w:pPr>
        <w:pStyle w:val="ConsPlusNormal"/>
        <w:jc w:val="center"/>
      </w:pPr>
      <w:r>
        <w:t>представляемых на конкурс документов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ind w:firstLine="540"/>
        <w:jc w:val="both"/>
      </w:pPr>
      <w:r>
        <w:t>3.1. Заявка на участие в конкурсе оформляется на имя председателя конкурсной комиссии соответствующей научной секции.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Заявка должна содержать следующую информацию о заявителе: фамилию, имя, отчество (последнее - при наличии) участника конкурса, дату его рождения, место работы, должность, место обучения (для аспирантов), научный стаж, ученую степень, тему доклада, фамилию, имя, отчество (последнее - при наличии) научного руководителя, телефон и адрес электронной почты конкурсанта.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20.07.2015 N 67)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Если работа выполнялась коллективом авторов, то заявка оформляется на каждого участника.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Заявка на участие в конкурсе заверяется руководителем кадровой службы организации.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3.2. Научный доклад должен включать результаты научных исследований, технические, экономические или технологические разработки.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Научный доклад должен содержать: титульный лист, аннотацию (не более 1500 знаков с указанием универсальной десятичной классификации - УДК), основной текст научного доклада, заключение, список использованной литературы.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Основной текст научного доклада выравнивается по ширине страницы и печатается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цвет - черный, размер - 14 </w:t>
      </w:r>
      <w:proofErr w:type="spellStart"/>
      <w:r>
        <w:t>пт</w:t>
      </w:r>
      <w:proofErr w:type="spellEnd"/>
      <w:r>
        <w:t xml:space="preserve">, междустрочный интервал - 1, поля - 2,5 см, отступ первой строки абзаца - 1,0 см. Графики и рисунки выполняются в черно-белом варианте и группируются с помощью опции "Действия" ("Рисование")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Научный доклад объемом до 15 страниц формата A4 представляется на бумажном и электронном носителе (флэш-карта, дискета, CD-диск).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3.3. К представляемым на конкурс научным работам прилагается рекомендация ученого (научного, научно-технического) совета или совета молодых ученых и специалистов организации, подписанная председателем ученого (научного, научно-технического) совета или совета молодых ученых и специалистов организации и заверенная печатью организации (при наличии печати).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20.07.2015 N 67)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3.4. Дополнительные материалы (рекомендательные и благодарственные письма, дипломы, грамоты и т.д.) представляются по желанию участника конкурса.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3.5. Поданные на конкурс материалы не возвращаются.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jc w:val="center"/>
        <w:outlineLvl w:val="1"/>
      </w:pPr>
      <w:r>
        <w:t>4. Подведение итогов конкурса и награждение победителей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ind w:firstLine="540"/>
        <w:jc w:val="both"/>
      </w:pPr>
      <w:r>
        <w:t xml:space="preserve">4.1. Победители конкурса (1, 2 и 3 места) определяются конкурсной комиссией отдельно по каждому научному направлению (секции), указанному в </w:t>
      </w:r>
      <w:hyperlink w:anchor="P53" w:history="1">
        <w:r>
          <w:rPr>
            <w:color w:val="0000FF"/>
          </w:rPr>
          <w:t>пункте 1.2 раздела 1</w:t>
        </w:r>
      </w:hyperlink>
      <w:r>
        <w:t xml:space="preserve"> настоящего Положения.</w:t>
      </w:r>
    </w:p>
    <w:p w:rsidR="00332A6F" w:rsidRDefault="00332A6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4.2. Критериями оценки победителей конкурса являются: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ясность, логичность, последовательность изложения содержания научного проекта (исключительно высокая - 4 балла, значительная - 3 балла, невысокая - 2 балла, неопределенная - 1 балл);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lastRenderedPageBreak/>
        <w:t>степень наличия научной новизны проекта (исключительно высокая - 4 балла, значительная - 3 балла, невысокая - 2 балла, неопределенная в настоящее время - 1 балл);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важность результата научного проекта (исключительно высокая - 4 балла, значительная - 3 балла, невысокая - 2 балла, неопределенная в настоящее время - 1 балл);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потенциальная возможность практического применения результатов реализации научного проекта в организациях и на предприятиях края (исключительно высокая - 4 балла, значительная - 3 балла, невысокая - 2 балла, неопределенная в настоящее время - 1 балл);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значимость предполагаемого результата научного проекта для края (исключительно высокая - 4 балла, значительная - 3 балла, невысокая - 2 балла, неопределенная в настоящее время - 1 балл);</w:t>
      </w:r>
    </w:p>
    <w:p w:rsidR="00332A6F" w:rsidRDefault="00332A6F">
      <w:pPr>
        <w:pStyle w:val="ConsPlusNormal"/>
        <w:spacing w:before="220"/>
        <w:ind w:firstLine="540"/>
        <w:jc w:val="both"/>
      </w:pPr>
      <w:proofErr w:type="spellStart"/>
      <w:r>
        <w:t>охраноспособность</w:t>
      </w:r>
      <w:proofErr w:type="spellEnd"/>
      <w:r>
        <w:t xml:space="preserve"> темы научного проекта (исключительно высокая - 4 балла, значительная - 3 балла, невысокая - 2 балла, неопределенная в настоящее время - 1 балл).</w:t>
      </w:r>
    </w:p>
    <w:p w:rsidR="00332A6F" w:rsidRDefault="00332A6F">
      <w:pPr>
        <w:pStyle w:val="ConsPlusNormal"/>
        <w:jc w:val="both"/>
      </w:pPr>
      <w:r>
        <w:t xml:space="preserve">(п. 4.2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 xml:space="preserve">4.3. Лучшие конкурсные проекты в каждой из номинаций определяются по наибольшей сумме набранных баллов в соответствии с установленными в </w:t>
      </w:r>
      <w:hyperlink w:anchor="P109" w:history="1">
        <w:r>
          <w:rPr>
            <w:color w:val="0000FF"/>
          </w:rPr>
          <w:t>пункте 4.2</w:t>
        </w:r>
      </w:hyperlink>
      <w:r>
        <w:t xml:space="preserve"> настоящего Положения критериями оценки. В случае равного количества баллов у кандидатов голос председателя конкурсной комиссии является решающим.</w:t>
      </w:r>
    </w:p>
    <w:p w:rsidR="00332A6F" w:rsidRDefault="00332A6F">
      <w:pPr>
        <w:pStyle w:val="ConsPlusNormal"/>
        <w:jc w:val="both"/>
      </w:pPr>
      <w:r>
        <w:t xml:space="preserve">(п. 4.3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4.4. Результат рассмотрения научного проекта излагается в протоколе научной секции, который подписывается председателем секции или председательствующим на заседании секции и секретарем секции по окончании работы секции. Протокол научной секции вместе с научными работами победителей передается секретарем секции организатору конкурса в трехдневный срок со дня подписания протокола.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Результаты конкурса оформляются распоряжением Губернатора Хабаровского края, которое размещается на официальном сайте организатора конкурса в течение трех дней со дня его издания.</w:t>
      </w:r>
    </w:p>
    <w:p w:rsidR="00332A6F" w:rsidRDefault="00332A6F">
      <w:pPr>
        <w:pStyle w:val="ConsPlusNormal"/>
        <w:jc w:val="both"/>
      </w:pPr>
      <w:r>
        <w:t xml:space="preserve">(п. 4.4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4.5. Итоги конкурса оглашаются на торжественном приеме Губернатора края, посвященном Дню российской науки.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Победители конкурса награждаются дипломами Губернатора Хабаровского края и денежной премией в следующем размере: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за 1 место - 20 тыс. (двадцать тысяч) рублей;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за 2 место - 15 тыс. (пятнадцать тысяч) рублей;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за 3 место - 10 тыс. (десять тысяч) рублей.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В случае присуждения призового места коллективу молодых ученых и аспирантов дипломами награждаются все участники, а денежная премия делится между ними поровну.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Денежная премия победителям конкурса перечисляется за вычетом налога на доходы физических лиц.</w:t>
      </w:r>
    </w:p>
    <w:p w:rsidR="00332A6F" w:rsidRDefault="00332A6F">
      <w:pPr>
        <w:pStyle w:val="ConsPlusNormal"/>
        <w:jc w:val="both"/>
      </w:pPr>
      <w:r>
        <w:t xml:space="preserve">(п. 4.5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16.09.2014 N 65)</w:t>
      </w:r>
    </w:p>
    <w:p w:rsidR="00332A6F" w:rsidRDefault="00332A6F">
      <w:pPr>
        <w:pStyle w:val="ConsPlusNormal"/>
        <w:spacing w:before="220"/>
        <w:ind w:firstLine="540"/>
        <w:jc w:val="both"/>
      </w:pPr>
      <w:r>
        <w:t>4.6. Научные работы победителей конкурса издаются в виде сборника научных работ.</w:t>
      </w:r>
    </w:p>
    <w:p w:rsidR="00332A6F" w:rsidRDefault="00332A6F">
      <w:pPr>
        <w:pStyle w:val="ConsPlusNormal"/>
        <w:jc w:val="both"/>
      </w:pPr>
    </w:p>
    <w:p w:rsidR="00332A6F" w:rsidRDefault="00332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C0B" w:rsidRDefault="00EC6C0B"/>
    <w:sectPr w:rsidR="00EC6C0B" w:rsidSect="00332A6F">
      <w:headerReference w:type="default" r:id="rId3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6F" w:rsidRDefault="00332A6F" w:rsidP="00332A6F">
      <w:pPr>
        <w:spacing w:after="0" w:line="240" w:lineRule="auto"/>
      </w:pPr>
      <w:r>
        <w:separator/>
      </w:r>
    </w:p>
  </w:endnote>
  <w:endnote w:type="continuationSeparator" w:id="0">
    <w:p w:rsidR="00332A6F" w:rsidRDefault="00332A6F" w:rsidP="0033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6F" w:rsidRDefault="00332A6F" w:rsidP="00332A6F">
      <w:pPr>
        <w:spacing w:after="0" w:line="240" w:lineRule="auto"/>
      </w:pPr>
      <w:r>
        <w:separator/>
      </w:r>
    </w:p>
  </w:footnote>
  <w:footnote w:type="continuationSeparator" w:id="0">
    <w:p w:rsidR="00332A6F" w:rsidRDefault="00332A6F" w:rsidP="0033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781353"/>
      <w:docPartObj>
        <w:docPartGallery w:val="Page Numbers (Top of Page)"/>
        <w:docPartUnique/>
      </w:docPartObj>
    </w:sdtPr>
    <w:sdtContent>
      <w:p w:rsidR="00332A6F" w:rsidRDefault="00332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2A6F" w:rsidRDefault="00332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F"/>
    <w:rsid w:val="00332A6F"/>
    <w:rsid w:val="00696ACE"/>
    <w:rsid w:val="009510E0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6046-04B7-4A9E-AAC2-869C1F9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A6F"/>
  </w:style>
  <w:style w:type="paragraph" w:styleId="a5">
    <w:name w:val="footer"/>
    <w:basedOn w:val="a"/>
    <w:link w:val="a6"/>
    <w:uiPriority w:val="99"/>
    <w:unhideWhenUsed/>
    <w:rsid w:val="003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9967EE630025690C7ABDF9B0DA15E268C9CC93607EC500591D0F82E65AE85295ADA42BA66C6398D3B5AP6r8B" TargetMode="External"/><Relationship Id="rId13" Type="http://schemas.openxmlformats.org/officeDocument/2006/relationships/hyperlink" Target="consultantplus://offline/ref=D3772929BBF0CEC7761DE2E25DC304D013FB3FF634AB8F66217022ADE5029FC95BC0656EB3C463224D27A602QFrEB" TargetMode="External"/><Relationship Id="rId18" Type="http://schemas.openxmlformats.org/officeDocument/2006/relationships/hyperlink" Target="consultantplus://offline/ref=D3772929BBF0CEC7761DE2E25DC304D013FB3FF63DA2806227797FA7ED5B93CB5CCF3A79B48D6F234D27A6Q0rBB" TargetMode="External"/><Relationship Id="rId26" Type="http://schemas.openxmlformats.org/officeDocument/2006/relationships/hyperlink" Target="consultantplus://offline/ref=D3772929BBF0CEC7761DE2E25DC304D013FB3FF63CA3896323797FA7ED5B93CB5CCF3A79B48D6F234D27A6Q0rA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772929BBF0CEC7761DE2E25DC304D013FB3FF63DA2806227797FA7ED5B93CB5CCF3A79B48D6F234D27A7Q0r2B" TargetMode="External"/><Relationship Id="rId34" Type="http://schemas.openxmlformats.org/officeDocument/2006/relationships/hyperlink" Target="consultantplus://offline/ref=D3772929BBF0CEC7761DE2E25DC304D013FB3FF63DA2806227797FA7ED5B93CB5CCF3A79B48D6F234D27A4Q0r2B" TargetMode="External"/><Relationship Id="rId7" Type="http://schemas.openxmlformats.org/officeDocument/2006/relationships/hyperlink" Target="consultantplus://offline/ref=65E9967EE630025690C7ABDF9B0DA15E268C9CC93706E5510191D0F82E65AE85295ADA42BA66C6398D3B5AP6r8B" TargetMode="External"/><Relationship Id="rId12" Type="http://schemas.openxmlformats.org/officeDocument/2006/relationships/hyperlink" Target="consultantplus://offline/ref=D3772929BBF0CEC7761DE2E25DC304D013FB3FF63DA2806227797FA7ED5B93CB5CCF3A79B48D6F234D27A6Q0rAB" TargetMode="External"/><Relationship Id="rId17" Type="http://schemas.openxmlformats.org/officeDocument/2006/relationships/hyperlink" Target="consultantplus://offline/ref=D3772929BBF0CEC7761DE2E25DC304D013FB3FF637A28A6624797FA7ED5B93CBQ5rCB" TargetMode="External"/><Relationship Id="rId25" Type="http://schemas.openxmlformats.org/officeDocument/2006/relationships/hyperlink" Target="consultantplus://offline/ref=D3772929BBF0CEC7761DE2E25DC304D013FB3FF634AB8F66217022ADE5029FC95BC0656EB3C463224D27A603QFr4B" TargetMode="External"/><Relationship Id="rId33" Type="http://schemas.openxmlformats.org/officeDocument/2006/relationships/hyperlink" Target="consultantplus://offline/ref=D3772929BBF0CEC7761DE2E25DC304D013FB3FF63DA2806227797FA7ED5B93CB5CCF3A79B48D6F234D27A7Q0rBB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72929BBF0CEC7761DE2E25DC304D013FB3FF634AA886727797FA7ED5B93CBQ5rCB" TargetMode="External"/><Relationship Id="rId20" Type="http://schemas.openxmlformats.org/officeDocument/2006/relationships/hyperlink" Target="consultantplus://offline/ref=D3772929BBF0CEC7761DE2E25DC304D013FB3FF634AB8F66217022ADE5029FC95BC0656EB3C463224D27A603QFr6B" TargetMode="External"/><Relationship Id="rId29" Type="http://schemas.openxmlformats.org/officeDocument/2006/relationships/hyperlink" Target="consultantplus://offline/ref=D3772929BBF0CEC7761DE2E25DC304D013FB3FF63DA2806227797FA7ED5B93CB5CCF3A79B48D6F234D27A7Q0r7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3772929BBF0CEC7761DE2E25DC304D013FB3FF634AB8F66217022ADE5029FC95BC0656EB3C463224D27A602QFr1B" TargetMode="External"/><Relationship Id="rId24" Type="http://schemas.openxmlformats.org/officeDocument/2006/relationships/hyperlink" Target="consultantplus://offline/ref=D3772929BBF0CEC7761DE2E25DC304D013FB3FF63DA2806227797FA7ED5B93CB5CCF3A79B48D6F234D27A7Q0r0B" TargetMode="External"/><Relationship Id="rId32" Type="http://schemas.openxmlformats.org/officeDocument/2006/relationships/hyperlink" Target="consultantplus://offline/ref=D3772929BBF0CEC7761DE2E25DC304D013FB3FF63CA3896323797FA7ED5B93CB5CCF3A79B48D6F234D27A7Q0r7B" TargetMode="External"/><Relationship Id="rId37" Type="http://schemas.openxmlformats.org/officeDocument/2006/relationships/hyperlink" Target="consultantplus://offline/ref=D3772929BBF0CEC7761DE2E25DC304D013FB3FF63DA2806227797FA7ED5B93CB5CCF3A79B48D6F234D27A5Q0r3B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772929BBF0CEC7761DE2E25DC304D013FB3FF637A28D6727797FA7ED5B93CBQ5rCB" TargetMode="External"/><Relationship Id="rId23" Type="http://schemas.openxmlformats.org/officeDocument/2006/relationships/hyperlink" Target="consultantplus://offline/ref=D3772929BBF0CEC7761DE2E25DC304D013FB3FF634AB8F66217022ADE5029FC95BC0656EB3C463224D27A603QFr7B" TargetMode="External"/><Relationship Id="rId28" Type="http://schemas.openxmlformats.org/officeDocument/2006/relationships/hyperlink" Target="consultantplus://offline/ref=D3772929BBF0CEC7761DE2E25DC304D013FB3FF634AB8F66217022ADE5029FC95BC0656EB3C463224D27A603QFr3B" TargetMode="External"/><Relationship Id="rId36" Type="http://schemas.openxmlformats.org/officeDocument/2006/relationships/hyperlink" Target="consultantplus://offline/ref=D3772929BBF0CEC7761DE2E25DC304D013FB3FF63DA2806227797FA7ED5B93CB5CCF3A79B48D6F234D27A4Q0rBB" TargetMode="External"/><Relationship Id="rId10" Type="http://schemas.openxmlformats.org/officeDocument/2006/relationships/hyperlink" Target="consultantplus://offline/ref=D3772929BBF0CEC7761DE2E25DC304D013FB3FF63DA2806227797FA7ED5B93CB5CCF3A79B48D6F234D27A6Q0r5B" TargetMode="External"/><Relationship Id="rId19" Type="http://schemas.openxmlformats.org/officeDocument/2006/relationships/hyperlink" Target="consultantplus://offline/ref=D3772929BBF0CEC7761DE2E25DC304D013FB3FF63CA3896323797FA7ED5B93CB5CCF3A79B48D6F234D27A6Q0r7B" TargetMode="External"/><Relationship Id="rId31" Type="http://schemas.openxmlformats.org/officeDocument/2006/relationships/hyperlink" Target="consultantplus://offline/ref=D3772929BBF0CEC7761DE2E25DC304D013FB3FF63CA3896323797FA7ED5B93CB5CCF3A79B48D6F234D27A7Q0r0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E9967EE630025690C7ABDF9B0DA15E268C9CC93E0FEA5507988DF2263CA2872E558555BD2FCA388D3B5A6DP6r6B" TargetMode="External"/><Relationship Id="rId14" Type="http://schemas.openxmlformats.org/officeDocument/2006/relationships/hyperlink" Target="consultantplus://offline/ref=D3772929BBF0CEC7761DE2E25DC304D013FB3FF634AB8F66217022ADE5029FC95BC0656EB3C463224D27A602QFrFB" TargetMode="External"/><Relationship Id="rId22" Type="http://schemas.openxmlformats.org/officeDocument/2006/relationships/hyperlink" Target="consultantplus://offline/ref=D3772929BBF0CEC7761DE2E25DC304D013FB3FF63CA3896323797FA7ED5B93CB5CCF3A79B48D6F234D27A6Q0r4B" TargetMode="External"/><Relationship Id="rId27" Type="http://schemas.openxmlformats.org/officeDocument/2006/relationships/hyperlink" Target="consultantplus://offline/ref=D3772929BBF0CEC7761DE2E25DC304D013FB3FF634AB8F66217022ADE5029FC95BC0656EB3C463224D27A603QFr5B" TargetMode="External"/><Relationship Id="rId30" Type="http://schemas.openxmlformats.org/officeDocument/2006/relationships/hyperlink" Target="consultantplus://offline/ref=D3772929BBF0CEC7761DE2E25DC304D013FB3FF63DA2806227797FA7ED5B93CB5CCF3A79B48D6F234D27A7Q0r5B" TargetMode="External"/><Relationship Id="rId35" Type="http://schemas.openxmlformats.org/officeDocument/2006/relationships/hyperlink" Target="consultantplus://offline/ref=D3772929BBF0CEC7761DE2E25DC304D013FB3FF63DA2806227797FA7ED5B93CB5CCF3A79B48D6F234D27A4Q0r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Иляхина</dc:creator>
  <cp:keywords/>
  <dc:description/>
  <cp:lastModifiedBy>Наталья Евгеньевна Иляхина</cp:lastModifiedBy>
  <cp:revision>1</cp:revision>
  <dcterms:created xsi:type="dcterms:W3CDTF">2017-12-01T01:43:00Z</dcterms:created>
  <dcterms:modified xsi:type="dcterms:W3CDTF">2017-12-01T01:45:00Z</dcterms:modified>
</cp:coreProperties>
</file>